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17 51 vom 14. Oktober 2020</w:t>
      </w:r>
    </w:p>
    <w:p>
      <w:r>
        <w:t>VS Kantonsgericht, 2020-10-14, FR</w:t>
      </w:r>
    </w:p>
    <w:p>
      <w:r>
        <w:rPr>
          <w:b/>
        </w:rPr>
        <w:t xml:space="preserve">Quelle: </w:t>
      </w:r>
      <w:r>
        <w:t>https://mcp.opencaselaw.ch/entscheid/vs_gerichte_P1 17 51</w:t>
      </w:r>
    </w:p>
    <w:p>
      <w:r>
        <w:t>FR: VS_GERICHTE P1 17 51 du 14 octobre 2020</w:t>
      </w:r>
    </w:p>
    <w:p>
      <w:r>
        <w:t>IT: VS_GERICHTE P1 17 51 del 14 ottobre 2020</w:t>
      </w:r>
    </w:p>
    <w:p>
      <w:pPr>
        <w:pStyle w:val="Heading2"/>
      </w:pPr>
      <w:r>
        <w:t>Regeste</w:t>
      </w:r>
    </w:p>
    <w:p>
      <w:r>
        <w:t>Par arrêt du 14 octobre 2020 (6B_644/2020), le Tribunal fédéral a rejeté le recours en matière pénale interjeté par X_ contre ce jugement. P1 17 51 JUGEMENT DU 27 AVRIL 2020 Tribunal cantonal du Valais Cour pénale II Composition : Bertrand Dayer, président ; Eve-Marie Dayer-Schmid et Jacques Berthouzoz, juges ; Mélanie Favre, greffière en la cause Ministère public du canton du Valais, contre X _________, prévenu appelant, représenté par Maître M _________. (art. 261bis CP)</w:t>
      </w:r>
    </w:p>
    <w:p>
      <w:pPr>
        <w:pStyle w:val="Heading2"/>
      </w:pPr>
      <w:r>
        <w:t>Erwägungen</w:t>
      </w:r>
    </w:p>
    <w:p>
      <w:r>
        <w:rPr>
          <w:b/>
        </w:rPr>
        <w:t>E. 22</w:t>
      </w:r>
    </w:p>
    <w:p>
      <w:r>
        <w:t>ainsi que n. 44 ad art. 261bis CP). 4.4 Pour déterminer si une expression - dont le contenu est une question de fait - tombe sous le coup de l’article 261bis CP, il faut se fonder sur le sens - qui est une question de droit - qu’un tiers moyen non averti doit, dans les circonstances du cas d’espèce, lui attribuer. Les particularités liées à la personne de l’auteur et à celle de la personne visée appartiennent notamment aux critères essentiels d’interprétation (cf. ATF 145 IV 23 consid. 3.2, 143 IV 193 consid. 1 ainsi qu’arrêt non publié 6B_267/2018 du 17 mai 2018 consid. 3.1 et les références citées ; MUSY, op. cit., p. 6-8). 4.5 Les comportements sanctionnés par l’article 261bis al. 1 et 4 CP doivent être commis publiquement, ce qui, de manière générale, est le cas d’un message posté sur les réseaux sociaux Facebook et, surtout, Twitter (cf. MUSY, op. cit., p. 9-11 et les références citées). 4.6 L’auteur doit agir intentionnellement, le dol éventuel étant toutefois suffisant. Son comportement doit en outre être dicté par des mobiles particuliers, à savoir la haine</w:t>
      </w:r>
    </w:p>
    <w:p>
      <w:r>
        <w:t>- 18 - ou le mépris des personnes appartenant à une race, une ethnie ou une religion déterminée. En d’autres termes, l’acte doit s’expliquer principalement par l’état d’esprit de l’auteur, qui déteste ou méprise les membres d’une race, d’une ethnie ou d’une religion (cf. MUSY, op. cit., p. 8-9 et les références citées ; DUPUIS ET AL., n. 80-81 ad art. 261bis CP). 4.7 Une condamnation au sens du premier alinéa de l’article 261bis CP absorbe les éléments constitutifs de l’infraction réprimée par la première partie de la phrase de son quatrième alinéa (cf. ATF 143 IV 193 consid. 4.4 et les références citées ; SCHLEIMINGER METTLER, n. 85 ad art. 261bis CP). De plus, d’une manière générale, lorsqu’un comportement tombe sous le coup de plusieurs alinéas de l’article 261bis CP, l’auteur n’est punissable que pour une seule infraction (cf. MAZOU, n. 68 ad art. 261bis CP). 5.1.1 Dans le cas particulier, l’article de presse auquel X _________ a apporté son commentaire « On en redemande ! » le 22 août 2014 à 16h01 avait pour titre, rédigé en caractères gras, « Une fusillade dans une mosquée fait un mort » (cf. consid. 3.4.1 ci-dessus ; pièces annexes, p. 6 et 21). 5.1.2 La légende de la photo illustrant le début de cet article montrait de surcroît la salle de prière vide de la mosquée en question et indiquait que, selon un témoin, 300 personnes s’y trouvaient au moment des faits (cf. consid. 3.4.2 ci-dessus). 5.1.3 Ainsi, pour un lecteur ne prenant pas davantage connaissance du contenu de l’article en question, les informations marquantes ressortant des éléments visibles au premier coup d’œil et décrits ci-dessus, étaient qu’un échange de coups de feu ayant provoqué le décès d’un homme avait eu lieu dans une mosquée, à l’occasion d’un rassemblement de 300 personnes dans l’espace réservé au culte. 5.1.4 Seule la lecture de cet article jusqu’à son terme permettait de comprendre de manière plus précise que la mosquée où s’était déroulé le drame était fréquentée par la communauté musulmane albanaise de St-Gall et que la fusillade pouvait être un acte de vengeance du tireur à l’encontre d’une personne ayant tué son frère de nombreuses années auparavant (cf. consid. 3.4.2 ci-dessus). 5.2 Compte tenu de leurs réactions (cf. consid. 3.6, 3.13.2, 3.13.4-3.13.6 et 3.14 ci-dessus ; pièces annexes, p. 3-4, 12-15, 18-23, 44-45, 47-48), il faut admettre que la très large majorité des personnes qui ont réagi au commentaire du prévenu n’ont pas lu l’article en ligne du quotidien « 20 minutes » au-delà de son titre, qui apparaissait d’ailleurs en caractère gras sur son « profil » Facebook, de même que sur son compte</w:t>
      </w:r>
    </w:p>
    <w:p>
      <w:r>
        <w:t>- 19 - Twitter (cf. pièces annexes, p. 21 et 100). En effet, ces réactions laissent apparaître que leurs auteurs ont compris que ce commentaire se référait à une fusillade mortelle entre musulmans commise dans une mosquée. Une seule et unique personne a mentionné le fait que l’article précité relatait, en réalité, « un règlement de compte à propos de l’honneur d’une famille » ; cette intervention n’a toutefois rencontré absolument aucun écho au vu des autres commentaires qui l’ont suivie (cf. pièces annexes, p. 22). 5.3.1 Par ailleurs, il est manifeste que, pour un lecteur moyen non averti (cf. consid. 4.4 ci-dessus), la brutalité et la concision des termes utilisés par X _________ sous la forme d’une injonction (« On en redemande ! ») favorisait grandement une compréhension littérale et sans nuance de son propos, son ambiguïté - ou son ironie selon lui - ne pouvant qu’être difficilement perçue au premier abord, ce d’autant plus qu’il s’exprimait sur des réseaux sociaux où il est notoire que les échanges sont rapides et spontanés, voire peu enclins à s’appuyer sur une fine analyse du sujet débattu, comme l’a d’ailleurs relevé W_________, qui, en outre, a concédé ne pas avoir lui-même non plus saisi immédiatement que le commentaire de son camarade de parti pouvait avoir « un double sens » (cf. consid. 3.11 ci-dessus). 5.3.2 En outre, hormis son côté percutant, ledit commentaire a été rédigé à la suite d’une information non moins saisissante - à savoir le meurtre, par arme à feu, d’un homme dans un lieu de culte musulman en présence de nombreux fidèles - par une personnalité publique jouissant d’une certaine notoriété, dont les opinions hostiles à l’islam étaient connues et avaient encore été largement diffusées sur internet à plusieurs reprises durant les semaines précédentes (cf. consid. 3.3 ci-dessus), sans qu’il soit en outre manifeste, contrairement à ce qu’il soutient, notamment, dans sa déclaration d’appel (cf. p. 10 de cette écriture), qu’il s’en était alors pris exclusivement au « djihadisme ou encore [au] terrorisme musulman ». 5.3.3 Dès lors, du moment que son auteur s’exprimait de manière véhémente sur un homicide sanglant directement relié à un lieu de culte que tout un chacun, à l’évidence, rattachait immédiatement à la religion islamique et à ses adeptes, il faut admettre que tout lecteur moyen non averti allait créer un amalgame entre le commentaire litigieux et les opinions islamophobes notoires de son auteur, ou, en d’autres termes, comprendre que ses propos visaient l’ensemble des personnes de confession musulmane (cf. dans ce sens ATF 143 IV 308 consid. 4.3). 5.3.4 Certes, à 16h14, X _________ a rédigé un deuxième message (« Mon ironie a-t- elle été bien comprise ? » ; cf. consid. 3.6 ci-dessus) qui, selon lui, avait pour but d’éclairer le</w:t>
      </w:r>
    </w:p>
    <w:p>
      <w:r>
        <w:t>- 20 - premier publié treize minutes auparavant. Il faut toutefois d’emblée remarquer que, dans cette nouvelle prise de parole, le prévenu n’a nullement indiqué que son commentaire initial ne visait pas les personnes de religion musulmane, comme le comprenaient manifestement les premières personnes à avoir réagi (cf. consid. 5.2 ci-dessus) et auxquelles, visiblement, il répondait (cf. pièces annexes, p. 21). Il n’a en particulier jamais précisé à ce moment-là que son intention était, par le biais d’un message ironique, de s’indigner de la violence régnant dans la communauté albanaise, comme il le soutiendra après que la présente procédure pénale eut été ouverte contre lui. 5.3.5 En définitive, au vu de ce qui précède, il y a lieu de retenir que, pour un lecteur moyen non averti, le commentaire « On en redemande ! » posté par X _________ le 22 août 2014 à 16h01 sur les réseaux sociaux Facebook et Twitter, et dès lors formulé publiquement (cf. consid. 4.5 ci-dessus), devait être compris de manière littérale et sans nuance comme un appel à la répétition d’un échange mortel de coups de feu, survenu un peu plus tôt dans l’après-midi, dans une mosquée, entre des fidèles de la religion islamique. Ce faisant, le prévenu a ainsi clairement formulé une incitation à la haine (sur cette notion, cf. MAZOU, n. 21 ad art. 261bis CP ; GUYAZ, L’incrimination de la discrimination raciale, 1996, p. 253) - qui a porté d’ailleurs porté ses fruits, à lire certaines réactions à son commentaire (cf. consid. 3.6, 3.13 et 3.14 ci-dessus) - contre un groupe de personnes en raison de leur appartenance religieuse au sens de l’article 261bis al. 1 CP (cf. dans le même sens, arrêt non publié précité 6B_267/2018 consid. 3.3). Au demeurant, dans la mesure où un tel commentaire pouvait également être compris comme une négation du droit de vivre des personnes de confession musulmane, il serait également susceptible de tomber sous le coup de l’article 261bis al. 4 1ère partie de la phrase CP (cf. consid. 4.3.2 ci-dessus). Quoi qu’il en soit, le fait que les éléments constitutifs de l’infraction réprimée par l’alinéa premier de cette disposition sont réalisés prime sur le fait que ceux de l’alinéa quatre (1ère partie de la phrase) le seraient aussi (cf. consid. 4.7 ci-dessus). Au surplus, même dans l’hypothèse - non retenue par la Cour de céans – où un lecteur moyen non averti eût dû comprendre que X _________ s’en prenait, comme il l’a soutenu tout au long de la procédure, non pas aux fidèles de la religion musulmane mais aux membres de la communauté albanaise, qui est une ethnie (cf. consid. 4.2.2 ci-dessus), la question se poserait de savoir si son commentaire, incitant à la haine et niant le droit de vivre des personnes visées, ne tomberait pas également, pour des motifs similaires</w:t>
      </w:r>
    </w:p>
    <w:p>
      <w:r>
        <w:t>- 21 - à ceux développés ci-dessus, sous le coup de l’article 261bis al. 1 et 4 CP. Cette question souffre toutefois de demeurer indécise. 5.4 Juriste, ancien magistrat instructeur, avocat et politicien expérimenté (cf. consid. 3.1 ci-dessus), le prévenu, âgé de 50 ans au moment des faits, était alors particulièrement rompu au maniement des mots et des idées, notamment pour faire passer ses messages politiques (cf. dos. p. 10, R11 ; p. 125-126, R3-4 ; débats d’appel, R3 et 5). Même s’il fallait admettre qu’il a rédigé le commentaire litigieux dans un mouvement d’humeur, comme il l’a soutenu, il ne peut lui avoir échappé qu’il choisissait une formule sujette à interprétation puisque, de son propre aveu, il voulait précisément faire preuve d’ironie. Alors même que, prise de manière littérale, cette formule exprimait de manière particulièrement brutale un appel à répéter un meurtre commis dans une mosquée, ce qui ne pouvait pas non plus lui échapper, il s’est néanmoins abstenu d’user de la moindre précaution de langage pouvant orienter un lecteur non averti vers une compréhension au second degré de son message. De plus, après qu’il eut réalisé que les internautes qui réagissaient à ce dernier ne l’avait pas compris dans le sens qu’il souhaitait, et même reçu des avertissements explicites de son camarade de parti W _________ (cf. consid. 3.11 ci-dessus), il en a certes rédigé un second indiquant qu’il avait voulu faire preuve d’ironie, mais s’est néanmoins totalement abstenu de préciser qu’il ne visait nullement les membres de la communauté musulmane. Il faut ainsi admettre qu’il a, en réalité, accepté que son commentaire haineux puisse être compris au premier degré comme étant dirigé à l’encontre de ceux-ci et qu’il a ainsi agi, à tout le moins, par dol éventuel (sur cette notion, cf. MOREILLON ET AL., n. 15 ss ad art. 12 CP et les références citées). Par ailleurs, ses mobiles (cf. consid. 4.6 ci-dessus) sont clairement liés à son islamophobie connue qu’il n’a jamais cherché à dissimuler. 5.5 Au terme de cette analyse, il faut retenir que l’appelant s’est rendu coupable de discrimination raciale au sens de l’article 261bis al. 1 CP, comme l’a décidé à juste titre le juge de première instance. 6.1 Le 1er janvier 2018 est entré en vigueur le nouveau droit des sanctions (cf. RO 2016 p. 1249 ss). Les actes reprochés à X _________ étant antérieurs à cette date, se pose dès lors la question du droit applicable. 6.2 L’article 2 CP fixe le champ d'application de la loi pénale dans le temps. Son premier alinéa pose le principe de la non-rétroactivité de ladite loi, en disposant que cette dernière ne s'applique qu'aux infractions commises après son entrée en vigueur. Son deuxième alinéa fait exception à ce principe pour le cas où l'auteur est mis en jugement</w:t>
      </w:r>
    </w:p>
    <w:p>
      <w:r>
        <w:t>- 22 - - fût-ce dans le cadre d’un appel, lorsque l'autorité cantonale de seconde instance exerce un pouvoir réformatoire (cf. ATF 117 IV 369 consid. 15 ; arrêt 6B_132/2007 du 17 janvier 2008 consid. 4.1) -, sous l'empire d'une loi nouvelle. En pareil cas, cette dernière s'applique si elle est plus favorable à l'auteur que celle qui était en vigueur au moment de la commission de l'infraction (lex mitior).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jouant un rôle décisif. Toutes les règles applicables doivent cependant être prises en compte, notamment celles relatives à la prescription, au droit de porter plainte, ou à la fixation de la peine et à l’octroi du sursis (cf. ATF 135 IV 113 consid. 2.2 et 134 IV 82 consid. 6.2.1; DUPUIS ET AL., n. 22 in fine ad art. 2 CP ainsi que les références citées). Le juge ne saurait combiner les deux droits, par exemple en appliquant la loi ancienne pour retenir, en raison d'un seul et même fait, quelle infraction a été commise et la nouvelle pour décider si et comment l'auteur doit être puni (cf. ATF 114 IV 1 consid. 2a). Si le résultat est le même à chaque fois, c'est l'ancien droit qui doit trouver application (cf. arrêt 6B_132/2007 du 17 janvier 2008 consid. 4.1; DUPUIS ET AL., n. 23 ad art. 2 CP). 6.3 En l’occurrence, l'entrée en vigueur du nouveau droit n'a affecté, ni les conditions légales de l’infraction retenue ci-dessus (cf. consid. 5), ni celles de sa poursuite. La comparaison ne doit dès lors porter que sur la sanction qui y est attachée. Sur ce point toutefois, la réforme prévoit un durcissement général du dispositif légal et ne peut dès lors être considérée comme plus favorable au prévenu, si bien que la Cour de céans appliquera le droit des sanctions en vigueur jusqu’au 31 décembre 2017 (cf. dans ce sens, DUPUIS ET AL., n. 5-6 ad Rem. prél. au Titre 3 du Code pénal). 7.1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ATF 142 IV 137 consid. 9.1 et 141 IV 61 consid. 6.1.1 ; arrêt 6B_807/2017 du 30 janvier 2018 consid. 2.1). L’article 47 CP ajoute comme critère l'effet de la peine sur l'avenir du condamné. Cet aspect de prévention spéciale ne permet toutefois que des corrections marginales, la peine devant toujours être proportionnée à la faute (cf. arrêt 6B_890/2015 du 16 décembre 2015 consid. 2.3.4 et les références citées). 7.2.1 La situation personnelle de l’appelant a déjà été partiellement exposée ci- dessus (cf. consid. 3.1). Il ressort par ailleurs du dossier qu’il est marié et père de xxx enfants aujourd’hui majeurs. Exerçant à titre principal la profession d’avocat à 60%, il assume également, à titre accessoire, un mandat de conseiller national. Selon les pièces versées en cause en vue des débats d’appel, ses revenus actuels doivent être considérés comme similaires à ceux qu’il réalisait lors du jugement de première instance. Il a en outre confirmé auxdits débats les autres aspects de sa situation personnelle ressortant de ce même jugement. Son extrait de casier judiciaire suisse ne fait par ailleurs état d’aucune condamnation. 7.2.2 Le 22 août 2014, alors que rien ne permet de douter qu’il bénéficiait de sa pleine capacité pénale, le prévenu a commis intentionnellement une infraction contre la paix publique, ce qui est particulièrement critiquable de la part d’une personne jouissant d’une notoriété certaine et assumant d’importantes fonctions publiques, soit, à l’époque, celles de membre d’un exécutif communal ainsi que de député au Parlement cantonal (membre de surcroît de la Commission de justice, cf. consid. 3 du jugement entrepris). Mû par des mobiles islamophobes, il a en outre proféré ses propos condamnables à une très large échelle puisqu’il les a diffusés sur deux réseaux sociaux différents, ne pouvant ainsi que se rendre compte qu’ils auraient un vaste écho. Par la suite, il n’a jamais émis aucun regret mais a plutôt cherché à se justifier en adoptant la posture de l’incompris,</w:t>
      </w:r>
    </w:p>
    <w:p>
      <w:r>
        <w:t>- 24 - manifestant ainsi une absence de prise de conscience du caractère répréhensible de l’acte commis. Sa faute est ainsi lourde, comme l’a retenu à juste titre le premier juge. 7.2.3 Eu égard à ces circonstances, la Cour de céans estime que la peine pécuniaire de 60 jours-amende, de même que l’amende de 3000 fr., assortie d’une peine privative de liberté de substitution de dix jours, prononcées par ce même juge ne paraissent pas exagérément sévères et ne consacrent pas un excès de son pouvoir d'appréciation, si bien qu’elles peuvent être entérinées. 7.2.4 Quant à la quotité de chaque jour-amende, fixée par ledit juge à 300 fr. (cf. consid. 13.3 de son jugement), elle correspond au résultat du calcul qui doit être fait, conformément aux principes en la matière (cf. art. 34 aCP ; DUPUIS ET AL., n. 15 ss art. 34 CP) et sur la base de la situation financière de l’intéressé demeurée inchangée (cf. consid. 7.2.1 ci-dessus), de sorte qu’elle peut être confirmée. 8.</w:t>
      </w:r>
    </w:p>
    <w:p>
      <w:r>
        <w:t>Cette peine est compatible avec l’octroi du sursis complet (cf. art. 42 aCP), dont le délai d’épreuve peut être arrêté à deux ans (cf. art. 44 CP), comme le juge de première instance l’a pertinemment décidé (cf. consid. 13.4 de son jugement) pour des motifs auxquels la Cour de céans souscrit entièrement et se réfère. X _________ est en outre rendu expressément attentif au fait que, s’il commet un nouveau crime ou délit durant le délai d’épreuve précité et que son comportement dénote un risque de le voir perpétrer de nouvelles infractions, le sursis accordé pourra être révoqué et la peine mise à exécution (art. 44 al. 3 CP et 46 al. 1 aCP). 9.</w:t>
      </w:r>
    </w:p>
    <w:p>
      <w:r>
        <w:t>Le présent appel doit, en définitive, être entièrement rejeté et le jugement entrepris, confirmé dans son intégralité. 10.1 L’ampleur des frais de première instance n’est pas remise en cause. Il convient, partant, de les confirmer. X _________ étant condamné, les frais d’instruction (1098 fr.) et du premier jugement (1500 fr.) sont ainsi entièrement mis à sa charge (cf. art. 426 al. 1 CPP). 10.2 Le sort des frais de la procédure d’appel est réglé par l'article 428 al. 1 CPP, qui prévoit leur prise en charge par la partie qui succombe, soit, en l’espèce, par l’appelant. L'émolument est compris entre 380 et 6000 fr. (cf. art. 22 let. f LTar). Dès lors, compte tenu du degré ordinaire de difficulté de la présente affaire, des principes de la couverture</w:t>
      </w:r>
    </w:p>
    <w:p>
      <w:r>
        <w:t>- 25 - des frais et de l'équivalence des prestations, ainsi que de la situation financière du condamné (cf. art. 13 LTar), ledit émolument est fixé à 1500 fr. (y compris 25 fr. d'indemnité d'huissier). 10.3 Pour le surplus, X _________ doit supporter ses propres frais de défense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